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7282"/>
        <w:gridCol w:w="2575"/>
      </w:tblGrid>
      <w:tr w:rsidR="000860D1" w:rsidRPr="00E40586" w14:paraId="3D471DD6" w14:textId="77777777" w:rsidTr="001006A1">
        <w:trPr>
          <w:trHeight w:val="469"/>
        </w:trPr>
        <w:tc>
          <w:tcPr>
            <w:tcW w:w="1192" w:type="dxa"/>
            <w:vMerge w:val="restart"/>
          </w:tcPr>
          <w:p w14:paraId="72DA9B1B" w14:textId="77777777" w:rsidR="000860D1" w:rsidRPr="00E40586" w:rsidRDefault="000860D1" w:rsidP="00E40586">
            <w:pPr>
              <w:spacing w:before="20" w:after="20"/>
              <w:rPr>
                <w:b/>
                <w:bCs/>
                <w:sz w:val="25"/>
                <w:szCs w:val="25"/>
              </w:rPr>
            </w:pPr>
            <w:r w:rsidRPr="00E40586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0" allowOverlap="1" wp14:anchorId="212557F9" wp14:editId="26999BF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93650</wp:posOffset>
                  </wp:positionV>
                  <wp:extent cx="541611" cy="474562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11" cy="474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2" w:type="dxa"/>
          </w:tcPr>
          <w:p w14:paraId="477D41D6" w14:textId="77777777" w:rsidR="000860D1" w:rsidRPr="00E40586" w:rsidRDefault="000860D1" w:rsidP="00E40586">
            <w:pPr>
              <w:spacing w:before="20" w:after="20"/>
              <w:rPr>
                <w:b/>
                <w:bCs/>
                <w:sz w:val="25"/>
                <w:szCs w:val="25"/>
              </w:rPr>
            </w:pPr>
            <w:r w:rsidRPr="00E40586">
              <w:rPr>
                <w:b/>
                <w:bCs/>
                <w:sz w:val="25"/>
                <w:szCs w:val="25"/>
              </w:rPr>
              <w:t>College Readiness Mathematics/Algebra 2</w:t>
            </w:r>
          </w:p>
        </w:tc>
        <w:tc>
          <w:tcPr>
            <w:tcW w:w="2575" w:type="dxa"/>
          </w:tcPr>
          <w:p w14:paraId="2B537F4B" w14:textId="77777777" w:rsidR="000860D1" w:rsidRPr="00E40586" w:rsidRDefault="000860D1" w:rsidP="00E40586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E40586">
              <w:rPr>
                <w:b/>
                <w:bCs/>
                <w:sz w:val="25"/>
                <w:szCs w:val="25"/>
              </w:rPr>
              <w:t>Fall 2020</w:t>
            </w:r>
          </w:p>
        </w:tc>
      </w:tr>
      <w:tr w:rsidR="000860D1" w:rsidRPr="00E40586" w14:paraId="6ABC6A8C" w14:textId="77777777" w:rsidTr="001006A1">
        <w:trPr>
          <w:trHeight w:val="469"/>
        </w:trPr>
        <w:tc>
          <w:tcPr>
            <w:tcW w:w="1192" w:type="dxa"/>
            <w:vMerge/>
          </w:tcPr>
          <w:p w14:paraId="6C50806B" w14:textId="77777777" w:rsidR="000860D1" w:rsidRPr="00E40586" w:rsidRDefault="000860D1" w:rsidP="00E40586">
            <w:pPr>
              <w:spacing w:before="20" w:after="2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282" w:type="dxa"/>
          </w:tcPr>
          <w:p w14:paraId="6FD3BAA8" w14:textId="77777777" w:rsidR="000860D1" w:rsidRPr="00035B20" w:rsidRDefault="00853637" w:rsidP="00E40586">
            <w:pPr>
              <w:spacing w:before="20" w:after="20"/>
              <w:rPr>
                <w:sz w:val="20"/>
                <w:szCs w:val="20"/>
              </w:rPr>
            </w:pPr>
            <w:r w:rsidRPr="00035B20">
              <w:rPr>
                <w:sz w:val="20"/>
                <w:szCs w:val="20"/>
              </w:rPr>
              <w:t xml:space="preserve">melissa.churchill@cobbk12.org </w:t>
            </w:r>
          </w:p>
          <w:p w14:paraId="675B755D" w14:textId="1E0C360B" w:rsidR="003F750A" w:rsidRPr="00035B20" w:rsidRDefault="003F750A" w:rsidP="00E40586">
            <w:pPr>
              <w:spacing w:before="20" w:after="20"/>
              <w:rPr>
                <w:sz w:val="20"/>
                <w:szCs w:val="20"/>
                <w:highlight w:val="yellow"/>
              </w:rPr>
            </w:pPr>
            <w:r w:rsidRPr="00035B20">
              <w:rPr>
                <w:sz w:val="20"/>
                <w:szCs w:val="20"/>
              </w:rPr>
              <w:t>kelly.mcnearney@cobbk12.org</w:t>
            </w:r>
          </w:p>
        </w:tc>
        <w:tc>
          <w:tcPr>
            <w:tcW w:w="2575" w:type="dxa"/>
          </w:tcPr>
          <w:p w14:paraId="796E20EB" w14:textId="77777777" w:rsidR="000860D1" w:rsidRPr="00035B20" w:rsidRDefault="001006A1" w:rsidP="001006A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35B20">
              <w:rPr>
                <w:sz w:val="20"/>
                <w:szCs w:val="20"/>
              </w:rPr>
              <w:t xml:space="preserve">     </w:t>
            </w:r>
            <w:r w:rsidR="00853637" w:rsidRPr="00035B20">
              <w:rPr>
                <w:sz w:val="20"/>
                <w:szCs w:val="20"/>
              </w:rPr>
              <w:t>Melissa Churchill</w:t>
            </w:r>
          </w:p>
          <w:p w14:paraId="3AB27196" w14:textId="0F5EEDFA" w:rsidR="003F750A" w:rsidRPr="00035B20" w:rsidRDefault="00C67638" w:rsidP="001006A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35B20">
              <w:rPr>
                <w:sz w:val="20"/>
                <w:szCs w:val="20"/>
              </w:rPr>
              <w:t xml:space="preserve">    </w:t>
            </w:r>
            <w:r w:rsidR="003F750A" w:rsidRPr="00035B20">
              <w:rPr>
                <w:sz w:val="20"/>
                <w:szCs w:val="20"/>
              </w:rPr>
              <w:t>Kelly McNearney</w:t>
            </w:r>
          </w:p>
        </w:tc>
      </w:tr>
    </w:tbl>
    <w:p w14:paraId="59505BA4" w14:textId="77777777" w:rsidR="000860D1" w:rsidRPr="00FA5CE3" w:rsidRDefault="000860D1" w:rsidP="00FA5CE3">
      <w:pPr>
        <w:pStyle w:val="NormalWeb"/>
        <w:spacing w:before="80" w:beforeAutospacing="0" w:after="80" w:afterAutospacing="0"/>
        <w:rPr>
          <w:rFonts w:ascii="Century Gothic" w:hAnsi="Century Gothic"/>
          <w:color w:val="000000"/>
          <w:sz w:val="21"/>
          <w:szCs w:val="21"/>
        </w:rPr>
      </w:pPr>
      <w:r w:rsidRPr="00FA5CE3">
        <w:rPr>
          <w:rFonts w:ascii="Century Gothic" w:hAnsi="Century Gothic"/>
          <w:b/>
          <w:bCs/>
          <w:color w:val="000000"/>
          <w:sz w:val="21"/>
          <w:szCs w:val="21"/>
        </w:rPr>
        <w:t>College Readiness Mathematics</w:t>
      </w:r>
      <w:r w:rsidRPr="00FA5CE3">
        <w:rPr>
          <w:rFonts w:ascii="Century Gothic" w:hAnsi="Century Gothic"/>
          <w:color w:val="000000"/>
          <w:sz w:val="21"/>
          <w:szCs w:val="21"/>
        </w:rPr>
        <w:t xml:space="preserve"> focuses on key content and practice standards to ensure that students will be ready for post-secondary academic courses and career preparation in non-STEM fields. The course will revisit and expand the understanding of content standards introduced in earlier mathematics courses and will emphasize numeracy, algebra and functions, geometry, and statistics in a variety of contexts.</w:t>
      </w:r>
    </w:p>
    <w:p w14:paraId="7AD89A29" w14:textId="77777777" w:rsidR="000860D1" w:rsidRPr="00FA5CE3" w:rsidRDefault="000860D1" w:rsidP="00CB2D60">
      <w:pPr>
        <w:pStyle w:val="NormalWeb"/>
        <w:spacing w:before="0" w:beforeAutospacing="0" w:after="80" w:afterAutospacing="0"/>
        <w:rPr>
          <w:rFonts w:ascii="Century Gothic" w:hAnsi="Century Gothic"/>
          <w:color w:val="000000"/>
          <w:sz w:val="21"/>
          <w:szCs w:val="21"/>
        </w:rPr>
      </w:pPr>
      <w:r w:rsidRPr="00FA5CE3">
        <w:rPr>
          <w:rFonts w:ascii="Century Gothic" w:hAnsi="Century Gothic"/>
          <w:b/>
          <w:bCs/>
          <w:color w:val="000000"/>
          <w:sz w:val="21"/>
          <w:szCs w:val="21"/>
        </w:rPr>
        <w:t>Algebra 2</w:t>
      </w:r>
      <w:r w:rsidRPr="00FA5CE3">
        <w:rPr>
          <w:rFonts w:ascii="Century Gothic" w:hAnsi="Century Gothic"/>
          <w:color w:val="000000"/>
          <w:sz w:val="21"/>
          <w:szCs w:val="21"/>
        </w:rPr>
        <w:t xml:space="preserve"> is the culminating course in a sequence of three high school courses designed to ensure career and college readiness. The standard</w:t>
      </w:r>
      <w:bookmarkStart w:id="0" w:name="_GoBack"/>
      <w:bookmarkEnd w:id="0"/>
      <w:r w:rsidRPr="00FA5CE3">
        <w:rPr>
          <w:rFonts w:ascii="Century Gothic" w:hAnsi="Century Gothic"/>
          <w:color w:val="000000"/>
          <w:sz w:val="21"/>
          <w:szCs w:val="21"/>
        </w:rPr>
        <w:t>s in the three-course high school sequence specify the mathematics that all students should study in order to be college and career ready.</w:t>
      </w:r>
    </w:p>
    <w:p w14:paraId="629F1333" w14:textId="77777777" w:rsidR="000860D1" w:rsidRPr="003306F3" w:rsidRDefault="00CB2D60" w:rsidP="00E40586">
      <w:pPr>
        <w:spacing w:after="40"/>
        <w:rPr>
          <w:b/>
          <w:iCs/>
          <w:sz w:val="21"/>
          <w:szCs w:val="21"/>
        </w:rPr>
      </w:pPr>
      <w:r w:rsidRPr="003306F3">
        <w:rPr>
          <w:b/>
          <w:iCs/>
          <w:sz w:val="21"/>
          <w:szCs w:val="21"/>
        </w:rPr>
        <w:sym w:font="Wingdings" w:char="F0AB"/>
      </w:r>
      <w:r w:rsidRPr="003306F3">
        <w:rPr>
          <w:b/>
          <w:i/>
          <w:sz w:val="21"/>
          <w:szCs w:val="21"/>
        </w:rPr>
        <w:t xml:space="preserve"> </w:t>
      </w:r>
      <w:r w:rsidR="000860D1" w:rsidRPr="003306F3">
        <w:rPr>
          <w:b/>
          <w:i/>
          <w:sz w:val="21"/>
          <w:szCs w:val="21"/>
        </w:rPr>
        <w:t>Students who successfully complete course work will receive one unit of credit for College Readiness Math in the fall semester and one unit of Algebra 2 for the spring semester.</w:t>
      </w:r>
      <w:r w:rsidRPr="003306F3">
        <w:rPr>
          <w:b/>
          <w:iCs/>
          <w:sz w:val="21"/>
          <w:szCs w:val="21"/>
        </w:rPr>
        <w:sym w:font="Wingdings" w:char="F0AB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5670"/>
        <w:gridCol w:w="360"/>
        <w:gridCol w:w="3515"/>
        <w:gridCol w:w="622"/>
      </w:tblGrid>
      <w:tr w:rsidR="003F2A24" w:rsidRPr="003306F3" w14:paraId="444CD490" w14:textId="77777777" w:rsidTr="003F2A24">
        <w:tc>
          <w:tcPr>
            <w:tcW w:w="627" w:type="dxa"/>
            <w:tcBorders>
              <w:right w:val="single" w:sz="2" w:space="0" w:color="auto"/>
            </w:tcBorders>
          </w:tcPr>
          <w:p w14:paraId="0BB0728F" w14:textId="77777777" w:rsidR="003F2A24" w:rsidRPr="003306F3" w:rsidRDefault="003F2A24" w:rsidP="003F2A24">
            <w:pPr>
              <w:spacing w:after="20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278210" w14:textId="77777777" w:rsidR="003F2A24" w:rsidRPr="003306F3" w:rsidRDefault="003F2A24" w:rsidP="003F2A24">
            <w:pPr>
              <w:spacing w:after="20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306F3">
              <w:rPr>
                <w:b/>
                <w:bCs/>
                <w:iCs/>
                <w:sz w:val="21"/>
                <w:szCs w:val="21"/>
              </w:rPr>
              <w:t>Steps for Success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14:paraId="05B55670" w14:textId="77777777" w:rsidR="003F2A24" w:rsidRPr="003306F3" w:rsidRDefault="003F2A24" w:rsidP="003F2A24">
            <w:pPr>
              <w:spacing w:after="20"/>
              <w:rPr>
                <w:iCs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C1CA20" w14:textId="77777777" w:rsidR="003F2A24" w:rsidRPr="003306F3" w:rsidRDefault="003F2A24" w:rsidP="003F2A24">
            <w:pPr>
              <w:spacing w:after="20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306F3">
              <w:rPr>
                <w:b/>
                <w:bCs/>
                <w:iCs/>
                <w:sz w:val="21"/>
                <w:szCs w:val="21"/>
              </w:rPr>
              <w:t>Grading Policy</w:t>
            </w:r>
          </w:p>
        </w:tc>
        <w:tc>
          <w:tcPr>
            <w:tcW w:w="622" w:type="dxa"/>
            <w:tcBorders>
              <w:left w:val="single" w:sz="2" w:space="0" w:color="auto"/>
            </w:tcBorders>
          </w:tcPr>
          <w:p w14:paraId="5D73F362" w14:textId="77777777" w:rsidR="003F2A24" w:rsidRPr="003306F3" w:rsidRDefault="003F2A24" w:rsidP="003F2A24">
            <w:pPr>
              <w:spacing w:after="20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3F2A24" w:rsidRPr="003306F3" w14:paraId="08DF3B85" w14:textId="77777777" w:rsidTr="003F2A24">
        <w:tc>
          <w:tcPr>
            <w:tcW w:w="627" w:type="dxa"/>
            <w:tcBorders>
              <w:right w:val="single" w:sz="2" w:space="0" w:color="auto"/>
            </w:tcBorders>
          </w:tcPr>
          <w:p w14:paraId="5283699C" w14:textId="77777777" w:rsidR="003F2A24" w:rsidRPr="003306F3" w:rsidRDefault="003F2A24" w:rsidP="001913B1">
            <w:pPr>
              <w:rPr>
                <w:rFonts w:ascii="Segoe UI Symbol" w:hAnsi="Segoe UI Symbol" w:cs="Segoe UI Symbol"/>
                <w:iCs/>
                <w:sz w:val="21"/>
                <w:szCs w:val="21"/>
              </w:rPr>
            </w:pPr>
          </w:p>
        </w:tc>
        <w:tc>
          <w:tcPr>
            <w:tcW w:w="5670" w:type="dxa"/>
            <w:tcBorders>
              <w:left w:val="single" w:sz="2" w:space="0" w:color="auto"/>
              <w:right w:val="single" w:sz="2" w:space="0" w:color="auto"/>
            </w:tcBorders>
          </w:tcPr>
          <w:p w14:paraId="16776296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  <w:r w:rsidRPr="003306F3">
              <w:rPr>
                <w:rFonts w:ascii="Segoe UI Symbol" w:hAnsi="Segoe UI Symbol" w:cs="Segoe UI Symbol"/>
                <w:iCs/>
                <w:sz w:val="21"/>
                <w:szCs w:val="21"/>
              </w:rPr>
              <w:t>✓</w:t>
            </w:r>
            <w:r w:rsidRPr="003306F3">
              <w:rPr>
                <w:rFonts w:cs="Segoe UI Symbol"/>
                <w:iCs/>
                <w:sz w:val="21"/>
                <w:szCs w:val="21"/>
              </w:rPr>
              <w:t xml:space="preserve"> Be on time and prepared for class each day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14:paraId="7D0DD0F5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</w:p>
        </w:tc>
        <w:tc>
          <w:tcPr>
            <w:tcW w:w="3515" w:type="dxa"/>
            <w:tcBorders>
              <w:left w:val="single" w:sz="2" w:space="0" w:color="auto"/>
              <w:right w:val="single" w:sz="2" w:space="0" w:color="auto"/>
            </w:tcBorders>
          </w:tcPr>
          <w:p w14:paraId="16163740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  <w:r w:rsidRPr="003306F3">
              <w:rPr>
                <w:iCs/>
                <w:sz w:val="21"/>
                <w:szCs w:val="21"/>
              </w:rPr>
              <w:t>Unit Tests …………………… 40%</w:t>
            </w:r>
          </w:p>
        </w:tc>
        <w:tc>
          <w:tcPr>
            <w:tcW w:w="622" w:type="dxa"/>
            <w:tcBorders>
              <w:left w:val="single" w:sz="2" w:space="0" w:color="auto"/>
            </w:tcBorders>
          </w:tcPr>
          <w:p w14:paraId="6D52499F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</w:p>
        </w:tc>
      </w:tr>
      <w:tr w:rsidR="003F2A24" w:rsidRPr="003306F3" w14:paraId="32C891E2" w14:textId="77777777" w:rsidTr="003F2A24">
        <w:tc>
          <w:tcPr>
            <w:tcW w:w="627" w:type="dxa"/>
            <w:tcBorders>
              <w:right w:val="single" w:sz="2" w:space="0" w:color="auto"/>
            </w:tcBorders>
          </w:tcPr>
          <w:p w14:paraId="76FB2060" w14:textId="77777777" w:rsidR="003F2A24" w:rsidRPr="003306F3" w:rsidRDefault="003F2A24" w:rsidP="001913B1">
            <w:pPr>
              <w:rPr>
                <w:rFonts w:ascii="Segoe UI Symbol" w:hAnsi="Segoe UI Symbol" w:cs="Segoe UI Symbol"/>
                <w:iCs/>
                <w:sz w:val="21"/>
                <w:szCs w:val="21"/>
              </w:rPr>
            </w:pPr>
          </w:p>
        </w:tc>
        <w:tc>
          <w:tcPr>
            <w:tcW w:w="5670" w:type="dxa"/>
            <w:tcBorders>
              <w:left w:val="single" w:sz="2" w:space="0" w:color="auto"/>
              <w:right w:val="single" w:sz="2" w:space="0" w:color="auto"/>
            </w:tcBorders>
          </w:tcPr>
          <w:p w14:paraId="1B15F285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  <w:r w:rsidRPr="003306F3">
              <w:rPr>
                <w:rFonts w:ascii="Segoe UI Symbol" w:hAnsi="Segoe UI Symbol" w:cs="Segoe UI Symbol"/>
                <w:iCs/>
                <w:sz w:val="21"/>
                <w:szCs w:val="21"/>
              </w:rPr>
              <w:t>✓</w:t>
            </w:r>
            <w:r w:rsidRPr="003306F3">
              <w:rPr>
                <w:rFonts w:cs="Segoe UI Symbol"/>
                <w:iCs/>
                <w:sz w:val="21"/>
                <w:szCs w:val="21"/>
              </w:rPr>
              <w:t xml:space="preserve"> Participate in class activities and discussions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14:paraId="3405A4AB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</w:p>
        </w:tc>
        <w:tc>
          <w:tcPr>
            <w:tcW w:w="3515" w:type="dxa"/>
            <w:tcBorders>
              <w:left w:val="single" w:sz="2" w:space="0" w:color="auto"/>
              <w:right w:val="single" w:sz="2" w:space="0" w:color="auto"/>
            </w:tcBorders>
          </w:tcPr>
          <w:p w14:paraId="578B117B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  <w:r w:rsidRPr="003306F3">
              <w:rPr>
                <w:iCs/>
                <w:sz w:val="21"/>
                <w:szCs w:val="21"/>
              </w:rPr>
              <w:t>Quizzes and Projects …</w:t>
            </w:r>
            <w:proofErr w:type="gramStart"/>
            <w:r w:rsidRPr="003306F3">
              <w:rPr>
                <w:iCs/>
                <w:sz w:val="21"/>
                <w:szCs w:val="21"/>
              </w:rPr>
              <w:t>…..</w:t>
            </w:r>
            <w:proofErr w:type="gramEnd"/>
            <w:r w:rsidRPr="003306F3">
              <w:rPr>
                <w:iCs/>
                <w:sz w:val="21"/>
                <w:szCs w:val="21"/>
              </w:rPr>
              <w:t xml:space="preserve"> 25%</w:t>
            </w:r>
          </w:p>
        </w:tc>
        <w:tc>
          <w:tcPr>
            <w:tcW w:w="622" w:type="dxa"/>
            <w:tcBorders>
              <w:left w:val="single" w:sz="2" w:space="0" w:color="auto"/>
            </w:tcBorders>
          </w:tcPr>
          <w:p w14:paraId="0D2A81F7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</w:p>
        </w:tc>
      </w:tr>
      <w:tr w:rsidR="003F2A24" w:rsidRPr="003306F3" w14:paraId="6DDA4CA1" w14:textId="77777777" w:rsidTr="003F2A24">
        <w:tc>
          <w:tcPr>
            <w:tcW w:w="627" w:type="dxa"/>
            <w:tcBorders>
              <w:right w:val="single" w:sz="2" w:space="0" w:color="auto"/>
            </w:tcBorders>
          </w:tcPr>
          <w:p w14:paraId="53916AEF" w14:textId="77777777" w:rsidR="003F2A24" w:rsidRPr="003306F3" w:rsidRDefault="003F2A24" w:rsidP="001913B1">
            <w:pPr>
              <w:rPr>
                <w:rFonts w:ascii="Segoe UI Symbol" w:hAnsi="Segoe UI Symbol" w:cs="Segoe UI Symbol"/>
                <w:iCs/>
                <w:sz w:val="21"/>
                <w:szCs w:val="21"/>
              </w:rPr>
            </w:pPr>
          </w:p>
        </w:tc>
        <w:tc>
          <w:tcPr>
            <w:tcW w:w="5670" w:type="dxa"/>
            <w:tcBorders>
              <w:left w:val="single" w:sz="2" w:space="0" w:color="auto"/>
              <w:right w:val="single" w:sz="2" w:space="0" w:color="auto"/>
            </w:tcBorders>
          </w:tcPr>
          <w:p w14:paraId="0CC038E1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  <w:r w:rsidRPr="003306F3">
              <w:rPr>
                <w:rFonts w:ascii="Segoe UI Symbol" w:hAnsi="Segoe UI Symbol" w:cs="Segoe UI Symbol"/>
                <w:iCs/>
                <w:sz w:val="21"/>
                <w:szCs w:val="21"/>
              </w:rPr>
              <w:t>✓</w:t>
            </w:r>
            <w:r w:rsidRPr="003306F3">
              <w:rPr>
                <w:rFonts w:cs="Segoe UI Symbol"/>
                <w:iCs/>
                <w:sz w:val="21"/>
                <w:szCs w:val="21"/>
              </w:rPr>
              <w:t xml:space="preserve"> Complete all assignments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14:paraId="4552D259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</w:p>
        </w:tc>
        <w:tc>
          <w:tcPr>
            <w:tcW w:w="3515" w:type="dxa"/>
            <w:tcBorders>
              <w:left w:val="single" w:sz="2" w:space="0" w:color="auto"/>
              <w:right w:val="single" w:sz="2" w:space="0" w:color="auto"/>
            </w:tcBorders>
          </w:tcPr>
          <w:p w14:paraId="155C8C88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  <w:r w:rsidRPr="003306F3">
              <w:rPr>
                <w:iCs/>
                <w:sz w:val="21"/>
                <w:szCs w:val="21"/>
              </w:rPr>
              <w:t>Daily ………………………… 20%</w:t>
            </w:r>
          </w:p>
        </w:tc>
        <w:tc>
          <w:tcPr>
            <w:tcW w:w="622" w:type="dxa"/>
            <w:tcBorders>
              <w:left w:val="single" w:sz="2" w:space="0" w:color="auto"/>
            </w:tcBorders>
          </w:tcPr>
          <w:p w14:paraId="1A87FBF9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</w:p>
        </w:tc>
      </w:tr>
      <w:tr w:rsidR="003F2A24" w:rsidRPr="003306F3" w14:paraId="091D7DF0" w14:textId="77777777" w:rsidTr="003F2A24">
        <w:tc>
          <w:tcPr>
            <w:tcW w:w="627" w:type="dxa"/>
            <w:tcBorders>
              <w:right w:val="single" w:sz="2" w:space="0" w:color="auto"/>
            </w:tcBorders>
          </w:tcPr>
          <w:p w14:paraId="6ABAC023" w14:textId="77777777" w:rsidR="003F2A24" w:rsidRPr="003306F3" w:rsidRDefault="003F2A24" w:rsidP="001913B1">
            <w:pPr>
              <w:rPr>
                <w:rFonts w:ascii="Segoe UI Symbol" w:hAnsi="Segoe UI Symbol" w:cs="Segoe UI Symbol"/>
                <w:iCs/>
                <w:sz w:val="21"/>
                <w:szCs w:val="21"/>
              </w:rPr>
            </w:pPr>
          </w:p>
        </w:tc>
        <w:tc>
          <w:tcPr>
            <w:tcW w:w="5670" w:type="dxa"/>
            <w:tcBorders>
              <w:left w:val="single" w:sz="2" w:space="0" w:color="auto"/>
              <w:right w:val="single" w:sz="2" w:space="0" w:color="auto"/>
            </w:tcBorders>
          </w:tcPr>
          <w:p w14:paraId="1969DE1A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  <w:r w:rsidRPr="003306F3">
              <w:rPr>
                <w:rFonts w:ascii="Segoe UI Symbol" w:hAnsi="Segoe UI Symbol" w:cs="Segoe UI Symbol"/>
                <w:iCs/>
                <w:sz w:val="21"/>
                <w:szCs w:val="21"/>
              </w:rPr>
              <w:t>✓</w:t>
            </w:r>
            <w:r w:rsidRPr="003306F3">
              <w:rPr>
                <w:rFonts w:cs="Segoe UI Symbol"/>
                <w:iCs/>
                <w:sz w:val="21"/>
                <w:szCs w:val="21"/>
              </w:rPr>
              <w:t xml:space="preserve"> Stay organized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14:paraId="0D7A47B1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</w:p>
        </w:tc>
        <w:tc>
          <w:tcPr>
            <w:tcW w:w="3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0647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  <w:r w:rsidRPr="003306F3">
              <w:rPr>
                <w:iCs/>
                <w:sz w:val="21"/>
                <w:szCs w:val="21"/>
              </w:rPr>
              <w:t>Final Exam …………………. 15%</w:t>
            </w:r>
          </w:p>
        </w:tc>
        <w:tc>
          <w:tcPr>
            <w:tcW w:w="622" w:type="dxa"/>
            <w:tcBorders>
              <w:left w:val="single" w:sz="2" w:space="0" w:color="auto"/>
            </w:tcBorders>
          </w:tcPr>
          <w:p w14:paraId="1F869561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</w:p>
        </w:tc>
      </w:tr>
      <w:tr w:rsidR="003F2A24" w:rsidRPr="003306F3" w14:paraId="2CC3A189" w14:textId="77777777" w:rsidTr="003F2A24">
        <w:tc>
          <w:tcPr>
            <w:tcW w:w="627" w:type="dxa"/>
            <w:tcBorders>
              <w:right w:val="single" w:sz="2" w:space="0" w:color="auto"/>
            </w:tcBorders>
          </w:tcPr>
          <w:p w14:paraId="4B750F8B" w14:textId="77777777" w:rsidR="003F2A24" w:rsidRPr="003306F3" w:rsidRDefault="003F2A24" w:rsidP="001913B1">
            <w:pPr>
              <w:rPr>
                <w:rFonts w:ascii="Segoe UI Symbol" w:hAnsi="Segoe UI Symbol" w:cs="Segoe UI Symbol"/>
                <w:iCs/>
                <w:sz w:val="21"/>
                <w:szCs w:val="21"/>
              </w:rPr>
            </w:pP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198A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  <w:r w:rsidRPr="003306F3">
              <w:rPr>
                <w:rFonts w:ascii="Segoe UI Symbol" w:hAnsi="Segoe UI Symbol" w:cs="Segoe UI Symbol"/>
                <w:iCs/>
                <w:sz w:val="21"/>
                <w:szCs w:val="21"/>
              </w:rPr>
              <w:t>✓</w:t>
            </w:r>
            <w:r w:rsidRPr="003306F3">
              <w:rPr>
                <w:rFonts w:cs="Segoe UI Symbol"/>
                <w:iCs/>
                <w:sz w:val="21"/>
                <w:szCs w:val="21"/>
              </w:rPr>
              <w:t xml:space="preserve"> Ask questions and seek extra help when needed</w:t>
            </w:r>
          </w:p>
        </w:tc>
        <w:tc>
          <w:tcPr>
            <w:tcW w:w="360" w:type="dxa"/>
            <w:tcBorders>
              <w:left w:val="single" w:sz="2" w:space="0" w:color="auto"/>
            </w:tcBorders>
          </w:tcPr>
          <w:p w14:paraId="50FABF5D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2" w:space="0" w:color="auto"/>
            </w:tcBorders>
          </w:tcPr>
          <w:p w14:paraId="3E8C32C5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</w:p>
        </w:tc>
        <w:tc>
          <w:tcPr>
            <w:tcW w:w="622" w:type="dxa"/>
          </w:tcPr>
          <w:p w14:paraId="23847D32" w14:textId="77777777" w:rsidR="003F2A24" w:rsidRPr="003306F3" w:rsidRDefault="003F2A24" w:rsidP="001913B1">
            <w:pPr>
              <w:rPr>
                <w:iCs/>
                <w:sz w:val="21"/>
                <w:szCs w:val="21"/>
              </w:rPr>
            </w:pPr>
          </w:p>
        </w:tc>
      </w:tr>
    </w:tbl>
    <w:p w14:paraId="1A3E1995" w14:textId="4167108E" w:rsidR="00173E3C" w:rsidRPr="003306F3" w:rsidRDefault="00173E3C" w:rsidP="00E40586">
      <w:pPr>
        <w:spacing w:before="40" w:after="0"/>
        <w:rPr>
          <w:iCs/>
          <w:sz w:val="21"/>
          <w:szCs w:val="21"/>
        </w:rPr>
      </w:pPr>
      <w:r w:rsidRPr="003306F3">
        <w:rPr>
          <w:iCs/>
          <w:sz w:val="21"/>
          <w:szCs w:val="21"/>
        </w:rPr>
        <w:t xml:space="preserve">Please review the </w:t>
      </w:r>
      <w:r w:rsidR="00CB2D60" w:rsidRPr="003306F3">
        <w:rPr>
          <w:iCs/>
          <w:sz w:val="21"/>
          <w:szCs w:val="21"/>
        </w:rPr>
        <w:t xml:space="preserve">virtual learning expectations, below, for Harrison High School students.  The Student Code of Conduct for Cobb County School District can be found </w:t>
      </w:r>
      <w:hyperlink r:id="rId8" w:history="1">
        <w:r w:rsidR="00CB2D60" w:rsidRPr="003306F3">
          <w:rPr>
            <w:rStyle w:val="Hyperlink"/>
            <w:iCs/>
            <w:sz w:val="21"/>
            <w:szCs w:val="21"/>
          </w:rPr>
          <w:t>here</w:t>
        </w:r>
      </w:hyperlink>
      <w:r w:rsidR="00CB2D60" w:rsidRPr="003306F3">
        <w:rPr>
          <w:iCs/>
          <w:sz w:val="21"/>
          <w:szCs w:val="21"/>
        </w:rPr>
        <w:t>.</w:t>
      </w:r>
    </w:p>
    <w:p w14:paraId="5B683375" w14:textId="6064049D" w:rsidR="00173E3C" w:rsidRPr="003306F3" w:rsidRDefault="00837860" w:rsidP="00FA5CE3">
      <w:pPr>
        <w:spacing w:after="40"/>
        <w:jc w:val="center"/>
        <w:rPr>
          <w:iCs/>
          <w:sz w:val="21"/>
          <w:szCs w:val="21"/>
        </w:rPr>
      </w:pPr>
      <w:r>
        <w:rPr>
          <w:noProof/>
        </w:rPr>
        <w:drawing>
          <wp:inline distT="0" distB="0" distL="0" distR="0" wp14:anchorId="7811E5E1" wp14:editId="3447F19C">
            <wp:extent cx="6620719" cy="1465754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0228" cy="148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AF089" w14:textId="269AFF9A" w:rsidR="00CB2D60" w:rsidRPr="003306F3" w:rsidRDefault="00CB2D60" w:rsidP="00CB2D60">
      <w:pPr>
        <w:spacing w:after="80"/>
        <w:rPr>
          <w:iCs/>
          <w:sz w:val="21"/>
          <w:szCs w:val="21"/>
        </w:rPr>
      </w:pPr>
      <w:r w:rsidRPr="003306F3">
        <w:rPr>
          <w:b/>
          <w:iCs/>
          <w:sz w:val="21"/>
          <w:szCs w:val="21"/>
        </w:rPr>
        <w:t xml:space="preserve">Homework:  </w:t>
      </w:r>
      <w:r w:rsidRPr="003306F3">
        <w:rPr>
          <w:iCs/>
          <w:sz w:val="21"/>
          <w:szCs w:val="21"/>
        </w:rPr>
        <w:t xml:space="preserve">Homework will be checked for completion.  Any late homework assignments must be completed and submitted by 8 AM on the day of the test – all late homework will be </w:t>
      </w:r>
      <w:r w:rsidR="00E47150" w:rsidRPr="003306F3">
        <w:rPr>
          <w:iCs/>
          <w:sz w:val="21"/>
          <w:szCs w:val="21"/>
        </w:rPr>
        <w:t xml:space="preserve">accepted </w:t>
      </w:r>
      <w:r w:rsidRPr="003306F3">
        <w:rPr>
          <w:iCs/>
          <w:sz w:val="21"/>
          <w:szCs w:val="21"/>
        </w:rPr>
        <w:t xml:space="preserve">for 50% credit.  </w:t>
      </w:r>
      <w:r w:rsidR="00E47150" w:rsidRPr="003306F3">
        <w:rPr>
          <w:iCs/>
          <w:sz w:val="21"/>
          <w:szCs w:val="21"/>
        </w:rPr>
        <w:t>Please be aware that m</w:t>
      </w:r>
      <w:r w:rsidRPr="003306F3">
        <w:rPr>
          <w:iCs/>
          <w:sz w:val="21"/>
          <w:szCs w:val="21"/>
        </w:rPr>
        <w:t>ost homework</w:t>
      </w:r>
      <w:r w:rsidR="00E47150" w:rsidRPr="003306F3">
        <w:rPr>
          <w:iCs/>
          <w:sz w:val="21"/>
          <w:szCs w:val="21"/>
        </w:rPr>
        <w:t xml:space="preserve"> assignments are to be</w:t>
      </w:r>
      <w:r w:rsidRPr="003306F3">
        <w:rPr>
          <w:iCs/>
          <w:sz w:val="21"/>
          <w:szCs w:val="21"/>
        </w:rPr>
        <w:t xml:space="preserve"> completed through DeltaMath.  </w:t>
      </w:r>
    </w:p>
    <w:p w14:paraId="383A9A3A" w14:textId="77777777" w:rsidR="003F2A24" w:rsidRPr="003306F3" w:rsidRDefault="003F2A24" w:rsidP="003F2A24">
      <w:pPr>
        <w:spacing w:after="40"/>
        <w:rPr>
          <w:iCs/>
          <w:sz w:val="21"/>
          <w:szCs w:val="21"/>
        </w:rPr>
      </w:pPr>
      <w:r w:rsidRPr="003306F3">
        <w:rPr>
          <w:b/>
          <w:bCs/>
          <w:iCs/>
          <w:sz w:val="21"/>
          <w:szCs w:val="21"/>
        </w:rPr>
        <w:t>Course Materials:</w:t>
      </w:r>
    </w:p>
    <w:p w14:paraId="3B3B7079" w14:textId="77777777" w:rsidR="003F2A24" w:rsidRPr="003306F3" w:rsidRDefault="003F2A24" w:rsidP="003F2A24">
      <w:pPr>
        <w:spacing w:after="0"/>
        <w:rPr>
          <w:iCs/>
          <w:sz w:val="21"/>
          <w:szCs w:val="21"/>
        </w:rPr>
      </w:pPr>
      <w:r w:rsidRPr="003306F3">
        <w:rPr>
          <w:iCs/>
          <w:sz w:val="21"/>
          <w:szCs w:val="21"/>
        </w:rPr>
        <w:t>· Composition Notebook</w:t>
      </w:r>
      <w:r w:rsidRPr="003306F3">
        <w:rPr>
          <w:iCs/>
          <w:sz w:val="21"/>
          <w:szCs w:val="21"/>
        </w:rPr>
        <w:tab/>
      </w:r>
      <w:r w:rsidRPr="003306F3">
        <w:rPr>
          <w:iCs/>
          <w:sz w:val="21"/>
          <w:szCs w:val="21"/>
        </w:rPr>
        <w:tab/>
        <w:t>· Calculator (see below)</w:t>
      </w:r>
      <w:r w:rsidRPr="003306F3">
        <w:rPr>
          <w:iCs/>
          <w:sz w:val="21"/>
          <w:szCs w:val="21"/>
        </w:rPr>
        <w:tab/>
      </w:r>
      <w:r w:rsidRPr="003306F3">
        <w:rPr>
          <w:iCs/>
          <w:sz w:val="21"/>
          <w:szCs w:val="21"/>
        </w:rPr>
        <w:tab/>
        <w:t>· Additional Notebook Paper</w:t>
      </w:r>
    </w:p>
    <w:p w14:paraId="72569DC8" w14:textId="3537BF0F" w:rsidR="003F2A24" w:rsidRPr="003306F3" w:rsidRDefault="003F2A24" w:rsidP="00A33401">
      <w:pPr>
        <w:spacing w:after="80"/>
        <w:rPr>
          <w:iCs/>
          <w:sz w:val="21"/>
          <w:szCs w:val="21"/>
        </w:rPr>
      </w:pPr>
      <w:r w:rsidRPr="003306F3">
        <w:rPr>
          <w:iCs/>
          <w:sz w:val="21"/>
          <w:szCs w:val="21"/>
        </w:rPr>
        <w:t>· Pencils and Erasers</w:t>
      </w:r>
      <w:r w:rsidRPr="003306F3">
        <w:rPr>
          <w:iCs/>
          <w:sz w:val="21"/>
          <w:szCs w:val="21"/>
        </w:rPr>
        <w:tab/>
      </w:r>
      <w:r w:rsidRPr="003306F3">
        <w:rPr>
          <w:iCs/>
          <w:sz w:val="21"/>
          <w:szCs w:val="21"/>
        </w:rPr>
        <w:tab/>
      </w:r>
      <w:r w:rsidRPr="003306F3">
        <w:rPr>
          <w:iCs/>
          <w:sz w:val="21"/>
          <w:szCs w:val="21"/>
        </w:rPr>
        <w:tab/>
        <w:t xml:space="preserve">· </w:t>
      </w:r>
      <w:r w:rsidR="00A33401" w:rsidRPr="003306F3">
        <w:rPr>
          <w:iCs/>
          <w:sz w:val="21"/>
          <w:szCs w:val="21"/>
        </w:rPr>
        <w:t>Binder or Folder</w:t>
      </w:r>
      <w:r w:rsidR="00A33401" w:rsidRPr="003306F3">
        <w:rPr>
          <w:iCs/>
          <w:sz w:val="21"/>
          <w:szCs w:val="21"/>
        </w:rPr>
        <w:tab/>
      </w:r>
      <w:r w:rsidRPr="003306F3">
        <w:rPr>
          <w:iCs/>
          <w:sz w:val="21"/>
          <w:szCs w:val="21"/>
        </w:rPr>
        <w:tab/>
      </w:r>
      <w:r w:rsidRPr="003306F3">
        <w:rPr>
          <w:iCs/>
          <w:sz w:val="21"/>
          <w:szCs w:val="21"/>
        </w:rPr>
        <w:tab/>
        <w:t>· Highlighters (optional)</w:t>
      </w:r>
    </w:p>
    <w:p w14:paraId="347BB291" w14:textId="77777777" w:rsidR="00173E3C" w:rsidRPr="003306F3" w:rsidRDefault="00CB2D60" w:rsidP="00CB2D60">
      <w:pPr>
        <w:spacing w:after="80"/>
        <w:rPr>
          <w:iCs/>
          <w:sz w:val="21"/>
          <w:szCs w:val="21"/>
        </w:rPr>
      </w:pPr>
      <w:r w:rsidRPr="003306F3">
        <w:rPr>
          <w:b/>
          <w:bCs/>
          <w:iCs/>
          <w:sz w:val="21"/>
          <w:szCs w:val="21"/>
        </w:rPr>
        <w:t>Calculators:</w:t>
      </w:r>
      <w:r w:rsidRPr="003306F3">
        <w:rPr>
          <w:iCs/>
          <w:sz w:val="21"/>
          <w:szCs w:val="21"/>
        </w:rPr>
        <w:t xml:space="preserve"> The following calculators are recommended for this course: TI-83, TI-84, and </w:t>
      </w:r>
      <w:r w:rsidRPr="003306F3">
        <w:rPr>
          <w:iCs/>
          <w:sz w:val="21"/>
          <w:szCs w:val="21"/>
        </w:rPr>
        <w:br/>
        <w:t xml:space="preserve">TI-36X Pro.  If you do not have access to one of these calculators, please utilize </w:t>
      </w:r>
      <w:r w:rsidR="003F2A24" w:rsidRPr="003306F3">
        <w:rPr>
          <w:iCs/>
          <w:sz w:val="21"/>
          <w:szCs w:val="21"/>
        </w:rPr>
        <w:t xml:space="preserve">the free online </w:t>
      </w:r>
      <w:hyperlink r:id="rId10" w:history="1">
        <w:r w:rsidR="003F2A24" w:rsidRPr="003306F3">
          <w:rPr>
            <w:rStyle w:val="Hyperlink"/>
            <w:iCs/>
            <w:sz w:val="21"/>
            <w:szCs w:val="21"/>
          </w:rPr>
          <w:t>graphing calculator</w:t>
        </w:r>
      </w:hyperlink>
      <w:r w:rsidR="003F2A24" w:rsidRPr="003306F3">
        <w:rPr>
          <w:iCs/>
          <w:sz w:val="21"/>
          <w:szCs w:val="21"/>
        </w:rPr>
        <w:t xml:space="preserve"> and </w:t>
      </w:r>
      <w:hyperlink r:id="rId11" w:history="1">
        <w:r w:rsidR="003F2A24" w:rsidRPr="003306F3">
          <w:rPr>
            <w:rStyle w:val="Hyperlink"/>
            <w:iCs/>
            <w:sz w:val="21"/>
            <w:szCs w:val="21"/>
          </w:rPr>
          <w:t>scientific calculator</w:t>
        </w:r>
      </w:hyperlink>
      <w:r w:rsidR="003F2A24" w:rsidRPr="003306F3">
        <w:rPr>
          <w:iCs/>
          <w:sz w:val="21"/>
          <w:szCs w:val="21"/>
        </w:rPr>
        <w:t xml:space="preserve"> through Desmos.</w:t>
      </w:r>
    </w:p>
    <w:p w14:paraId="43AA000A" w14:textId="0C525AFC" w:rsidR="008559B4" w:rsidRPr="003306F3" w:rsidRDefault="00E96A97" w:rsidP="00CB2D60">
      <w:pPr>
        <w:spacing w:after="80"/>
        <w:rPr>
          <w:iCs/>
          <w:sz w:val="21"/>
          <w:szCs w:val="21"/>
        </w:rPr>
      </w:pPr>
      <w:r w:rsidRPr="003306F3">
        <w:rPr>
          <w:b/>
          <w:bCs/>
          <w:iCs/>
          <w:sz w:val="21"/>
          <w:szCs w:val="21"/>
        </w:rPr>
        <w:t>Cheating:</w:t>
      </w:r>
      <w:r w:rsidRPr="003306F3">
        <w:rPr>
          <w:iCs/>
          <w:sz w:val="21"/>
          <w:szCs w:val="21"/>
        </w:rPr>
        <w:t xml:space="preserve"> Cheating will NOT be tolerated.  Cheating includes copying/sharing work</w:t>
      </w:r>
      <w:r w:rsidR="000D571F" w:rsidRPr="003306F3">
        <w:rPr>
          <w:iCs/>
          <w:sz w:val="21"/>
          <w:szCs w:val="21"/>
        </w:rPr>
        <w:t>, communicating with others during a quiz/test, using a calculator/app/website when it is not allowed.  If it is determined that you have cheated</w:t>
      </w:r>
      <w:r w:rsidRPr="003306F3">
        <w:rPr>
          <w:iCs/>
          <w:sz w:val="21"/>
          <w:szCs w:val="21"/>
        </w:rPr>
        <w:t xml:space="preserve">, you will receive a zero on the assignment, your parents will be called, and you will be given a U </w:t>
      </w:r>
      <w:r w:rsidR="003306F3">
        <w:rPr>
          <w:iCs/>
          <w:sz w:val="21"/>
          <w:szCs w:val="21"/>
        </w:rPr>
        <w:t>for</w:t>
      </w:r>
      <w:r w:rsidRPr="003306F3">
        <w:rPr>
          <w:iCs/>
          <w:sz w:val="21"/>
          <w:szCs w:val="21"/>
        </w:rPr>
        <w:t xml:space="preserve"> conduct.</w:t>
      </w:r>
      <w:r w:rsidR="000D571F" w:rsidRPr="003306F3">
        <w:rPr>
          <w:iCs/>
          <w:sz w:val="21"/>
          <w:szCs w:val="21"/>
        </w:rPr>
        <w:t xml:space="preserve">  When you submit any assignment, you are </w:t>
      </w:r>
      <w:r w:rsidR="007B0D20" w:rsidRPr="003306F3">
        <w:rPr>
          <w:iCs/>
          <w:sz w:val="21"/>
          <w:szCs w:val="21"/>
        </w:rPr>
        <w:t xml:space="preserve">saying that it is your own work and that it has not been copied from another person, a website, or an app (such as </w:t>
      </w:r>
      <w:proofErr w:type="spellStart"/>
      <w:r w:rsidR="007B0D20" w:rsidRPr="003306F3">
        <w:rPr>
          <w:iCs/>
          <w:sz w:val="21"/>
          <w:szCs w:val="21"/>
        </w:rPr>
        <w:t>Photo</w:t>
      </w:r>
      <w:r w:rsidR="00B2740C" w:rsidRPr="003306F3">
        <w:rPr>
          <w:iCs/>
          <w:sz w:val="21"/>
          <w:szCs w:val="21"/>
        </w:rPr>
        <w:t>m</w:t>
      </w:r>
      <w:r w:rsidR="007B0D20" w:rsidRPr="003306F3">
        <w:rPr>
          <w:iCs/>
          <w:sz w:val="21"/>
          <w:szCs w:val="21"/>
        </w:rPr>
        <w:t>ath</w:t>
      </w:r>
      <w:proofErr w:type="spellEnd"/>
      <w:r w:rsidR="007B0D20" w:rsidRPr="003306F3">
        <w:rPr>
          <w:iCs/>
          <w:sz w:val="21"/>
          <w:szCs w:val="21"/>
        </w:rPr>
        <w:t>).  Apps and websites typically have unique ways of solving problems which are easy to recognize by teachers.</w:t>
      </w:r>
    </w:p>
    <w:p w14:paraId="087E409E" w14:textId="59A7D54C" w:rsidR="003F2A24" w:rsidRPr="003306F3" w:rsidRDefault="00233B18" w:rsidP="00CB2D60">
      <w:pPr>
        <w:spacing w:after="80"/>
        <w:rPr>
          <w:iCs/>
          <w:sz w:val="21"/>
          <w:szCs w:val="21"/>
        </w:rPr>
      </w:pPr>
      <w:r w:rsidRPr="003306F3">
        <w:rPr>
          <w:b/>
          <w:bCs/>
          <w:iCs/>
          <w:sz w:val="21"/>
          <w:szCs w:val="21"/>
        </w:rPr>
        <w:t>Help Sessions:</w:t>
      </w:r>
      <w:r w:rsidRPr="003306F3">
        <w:rPr>
          <w:iCs/>
          <w:sz w:val="21"/>
          <w:szCs w:val="21"/>
        </w:rPr>
        <w:t xml:space="preserve">  Now more than ever, it is important that you communicate </w:t>
      </w:r>
      <w:r w:rsidR="00A250BD" w:rsidRPr="003306F3">
        <w:rPr>
          <w:iCs/>
          <w:sz w:val="21"/>
          <w:szCs w:val="21"/>
        </w:rPr>
        <w:t>when you have questions or need additional instruction.  Small group and individual tutoring sessions can be scheduled during virtual office hours.</w:t>
      </w:r>
    </w:p>
    <w:p w14:paraId="16AEAF4F" w14:textId="353218CF" w:rsidR="003306F3" w:rsidRPr="003306F3" w:rsidRDefault="003306F3" w:rsidP="00CB2D60">
      <w:pPr>
        <w:spacing w:after="80"/>
        <w:rPr>
          <w:iCs/>
          <w:sz w:val="21"/>
          <w:szCs w:val="21"/>
        </w:rPr>
      </w:pPr>
      <w:r w:rsidRPr="003306F3">
        <w:rPr>
          <w:b/>
          <w:bCs/>
          <w:iCs/>
          <w:sz w:val="21"/>
          <w:szCs w:val="21"/>
        </w:rPr>
        <w:t>Remind:</w:t>
      </w:r>
      <w:r w:rsidRPr="003306F3">
        <w:rPr>
          <w:iCs/>
          <w:sz w:val="21"/>
          <w:szCs w:val="21"/>
        </w:rPr>
        <w:t xml:space="preserve"> All students and at least 1 parent should sign up for the class Remind.  To sign up, please text </w:t>
      </w:r>
      <w:r w:rsidR="001006A1">
        <w:rPr>
          <w:rFonts w:ascii="Arial" w:hAnsi="Arial" w:cs="Arial"/>
          <w:color w:val="6B6E72"/>
          <w:sz w:val="20"/>
          <w:szCs w:val="20"/>
          <w:shd w:val="clear" w:color="auto" w:fill="FFFFFF"/>
        </w:rPr>
        <w:t xml:space="preserve">@387kf68 </w:t>
      </w:r>
      <w:r w:rsidRPr="003306F3">
        <w:rPr>
          <w:iCs/>
          <w:sz w:val="21"/>
          <w:szCs w:val="21"/>
        </w:rPr>
        <w:t>to 81010.</w:t>
      </w:r>
    </w:p>
    <w:sectPr w:rsidR="003306F3" w:rsidRPr="003306F3" w:rsidSect="00086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D1"/>
    <w:rsid w:val="0002346C"/>
    <w:rsid w:val="00035B20"/>
    <w:rsid w:val="000860D1"/>
    <w:rsid w:val="000D571F"/>
    <w:rsid w:val="001006A1"/>
    <w:rsid w:val="00135BCF"/>
    <w:rsid w:val="00173E3C"/>
    <w:rsid w:val="001913B1"/>
    <w:rsid w:val="00233B18"/>
    <w:rsid w:val="00280C9B"/>
    <w:rsid w:val="003306F3"/>
    <w:rsid w:val="003F2A24"/>
    <w:rsid w:val="003F750A"/>
    <w:rsid w:val="007B0D20"/>
    <w:rsid w:val="00837860"/>
    <w:rsid w:val="00853637"/>
    <w:rsid w:val="008559B4"/>
    <w:rsid w:val="00940B25"/>
    <w:rsid w:val="00A250BD"/>
    <w:rsid w:val="00A33401"/>
    <w:rsid w:val="00B2740C"/>
    <w:rsid w:val="00B46AC2"/>
    <w:rsid w:val="00C67638"/>
    <w:rsid w:val="00C73D57"/>
    <w:rsid w:val="00CB2D60"/>
    <w:rsid w:val="00D77157"/>
    <w:rsid w:val="00E40586"/>
    <w:rsid w:val="00E47150"/>
    <w:rsid w:val="00E47810"/>
    <w:rsid w:val="00E629E0"/>
    <w:rsid w:val="00E827DA"/>
    <w:rsid w:val="00E96A97"/>
    <w:rsid w:val="00F33A38"/>
    <w:rsid w:val="00F439B2"/>
    <w:rsid w:val="00F469F9"/>
    <w:rsid w:val="00F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29FF"/>
  <w15:chartTrackingRefBased/>
  <w15:docId w15:val="{4C7EFC8E-6885-4348-B1DA-76689AA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39"/>
    <w:rsid w:val="0008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D6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F2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bk12.org/centraloffice/adminrules/j/JCDA-R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smos.com/scientifi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esmos.com/calculator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2" ma:contentTypeDescription="Create a new document." ma:contentTypeScope="" ma:versionID="a745611a54d0d33dd4f555151a65877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24ad0ada72461b3d5c81fea4ce059367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7E81B-7AFC-43A1-A2B3-00840A85D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1217B-708C-4E07-A441-8C59E2F14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C5B42-17C1-4833-A92E-C4BF4829EFEE}">
  <ds:schemaRefs>
    <ds:schemaRef ds:uri="bf11f4db-f016-4acd-a79c-dae28cb32233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25715086-fb56-448a-8f44-7ff13588087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Melissa Churchill</cp:lastModifiedBy>
  <cp:revision>6</cp:revision>
  <cp:lastPrinted>2020-08-14T13:37:00Z</cp:lastPrinted>
  <dcterms:created xsi:type="dcterms:W3CDTF">2020-08-12T13:02:00Z</dcterms:created>
  <dcterms:modified xsi:type="dcterms:W3CDTF">2020-08-14T14:42:00Z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